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4A6" w:rsidRPr="00337604" w:rsidRDefault="008F64A6" w:rsidP="00A65EBA">
      <w:pPr>
        <w:spacing w:line="276" w:lineRule="auto"/>
        <w:ind w:firstLine="567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Ибрагим Турсунов</w:t>
      </w:r>
      <w:r w:rsidRPr="00F2060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3760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F64A6" w:rsidRPr="00A65EBA" w:rsidRDefault="008F64A6" w:rsidP="00A65EBA">
      <w:pPr>
        <w:spacing w:line="276" w:lineRule="auto"/>
        <w:ind w:firstLine="567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A65EBA">
        <w:rPr>
          <w:rFonts w:ascii="Times New Roman" w:hAnsi="Times New Roman"/>
          <w:b/>
          <w:sz w:val="28"/>
          <w:szCs w:val="28"/>
          <w:lang w:val="ru-RU"/>
        </w:rPr>
        <w:t xml:space="preserve">(Ташкент, </w:t>
      </w:r>
      <w:r>
        <w:rPr>
          <w:rFonts w:ascii="Times New Roman" w:hAnsi="Times New Roman"/>
          <w:b/>
          <w:sz w:val="28"/>
          <w:szCs w:val="28"/>
          <w:lang w:val="ru-RU"/>
        </w:rPr>
        <w:t>Узбекистан</w:t>
      </w:r>
      <w:r w:rsidRPr="00A65EBA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8F64A6" w:rsidRPr="00F2060E" w:rsidRDefault="008F64A6" w:rsidP="00A65EBA">
      <w:pPr>
        <w:spacing w:line="276" w:lineRule="auto"/>
        <w:ind w:firstLine="567"/>
        <w:jc w:val="right"/>
        <w:rPr>
          <w:rFonts w:ascii="Times New Roman" w:hAnsi="Times New Roman"/>
          <w:i/>
          <w:sz w:val="28"/>
          <w:szCs w:val="28"/>
          <w:lang w:val="ru-RU"/>
        </w:rPr>
      </w:pPr>
    </w:p>
    <w:p w:rsidR="008F64A6" w:rsidRPr="00F2060E" w:rsidRDefault="008F64A6" w:rsidP="00F2060E">
      <w:pPr>
        <w:spacing w:line="276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F2060E">
        <w:rPr>
          <w:rFonts w:ascii="Times New Roman" w:hAnsi="Times New Roman"/>
          <w:b/>
          <w:sz w:val="28"/>
          <w:szCs w:val="28"/>
          <w:lang w:val="ru-RU"/>
        </w:rPr>
        <w:t xml:space="preserve">КУЛЬТУРНО-ЯЗЫКОВЫХ КОНТАКТОВ В ОБОГАЩЕНИИ ЛЕКСИКИ УЗБЕКСКОГО ЯЗЫКА </w:t>
      </w:r>
    </w:p>
    <w:p w:rsidR="008F64A6" w:rsidRDefault="008F64A6" w:rsidP="00F2060E">
      <w:pPr>
        <w:spacing w:line="276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F64A6" w:rsidRPr="00AB138D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B138D">
        <w:rPr>
          <w:rFonts w:ascii="Times New Roman" w:hAnsi="Times New Roman"/>
          <w:i/>
          <w:sz w:val="28"/>
          <w:szCs w:val="28"/>
          <w:lang w:val="ru-RU"/>
        </w:rPr>
        <w:t>Цель данного исследования</w:t>
      </w:r>
      <w:r w:rsidRPr="00AB138D">
        <w:rPr>
          <w:rFonts w:ascii="Times New Roman" w:hAnsi="Times New Roman"/>
          <w:sz w:val="28"/>
          <w:szCs w:val="28"/>
          <w:lang w:val="ru-RU"/>
        </w:rPr>
        <w:t xml:space="preserve"> определить роль культурно-языковых контактов в обогащении лексики узбекского языка. В статье использованы следующие методы: описательный, сопоставительный, лингвистический. История лексики теснейшим образом связана с историей страны, с историческими судьбами народа – носителя данного языка, с достижениями его материальной и духовной культуры и отражает важнейшие этапы его социально-политического и культурноисторического развития. Заимствование слов рассматривается как один из аспектов культурного взаимовлияния.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138D">
        <w:rPr>
          <w:rFonts w:ascii="Times New Roman" w:hAnsi="Times New Roman"/>
          <w:sz w:val="28"/>
          <w:szCs w:val="28"/>
          <w:lang w:val="ru-RU"/>
        </w:rPr>
        <w:t xml:space="preserve">Задача исследования заключается в конкретном описании тех исторических условий, в которых осуществлялся процесс заимствования слов. Влияние одной культуры на другую проявляется в переходе из одной этнической общности в другую новых предметов материальной культуры (орудий труда, производственных навыков), духовных ценностей (обычаев, традиций, обрядов, религиозных доктрин, произведений искусства), что вызывает необходимость номинаций понятий либо с помощью иноязычных лексем, которые воспринимаются языком – реципиентом, либо путем создания эквивалентов с использованием иноязычных лексических единиц или их компонентов. Заимствование слов распространено чрезвычайно широко, так как нет ни одного хорошо развитого языка в мире, в котором бы отсутствовали иноязычные заимствованные слова.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138D">
        <w:rPr>
          <w:rFonts w:ascii="Times New Roman" w:hAnsi="Times New Roman"/>
          <w:sz w:val="28"/>
          <w:szCs w:val="28"/>
          <w:lang w:val="ru-RU"/>
        </w:rPr>
        <w:t xml:space="preserve">Известно, что появление иноязычных слов – естественный и необходимый процесс языкового развития, способствующий обогащению лексического состава и совершенствованию языка. Лексические заимствования являются результатом контактирования не только языков, но и различных этнических общностей, каждая из которых характеризуется своеобразием культуры. Лексика чутко реагирует на все культурные изменения, поскольку ее предназначение - номинация явлений и предметов данной культуры. Проникновение элементов иной культуры влечет за собой необходимость пополнения лексических лакун, возникающих в языке этноса, подвергающегося культурному влиянию.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138D">
        <w:rPr>
          <w:rFonts w:ascii="Times New Roman" w:hAnsi="Times New Roman"/>
          <w:sz w:val="28"/>
          <w:szCs w:val="28"/>
          <w:lang w:val="ru-RU"/>
        </w:rPr>
        <w:t>Кроме подобных заимствований, обусловленных коммуникативными потребностями, в языках встречаются и такие, которые практически имеют те же значения, что и исконные лексические единицы. Причины появления этих заимствований нередко определяются экспрессивными целями, они несут на себе значительную эмоциональную нагрузку и в силу этого могут вытеснять даже исконные слова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138D">
        <w:rPr>
          <w:rFonts w:ascii="Times New Roman" w:hAnsi="Times New Roman"/>
          <w:sz w:val="28"/>
          <w:szCs w:val="28"/>
          <w:lang w:val="ru-RU"/>
        </w:rPr>
        <w:t>Если коммуникативно обусловленные заимствования и заимствования второго рода входят в данный язык, то в дальнейшем могут происходить семантические или стилистические дифференциации исконного и заимствованного слов, либо вытеснение исконного слова.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138D">
        <w:rPr>
          <w:rFonts w:ascii="Times New Roman" w:hAnsi="Times New Roman"/>
          <w:sz w:val="28"/>
          <w:szCs w:val="28"/>
          <w:lang w:val="ru-RU"/>
        </w:rPr>
        <w:t xml:space="preserve"> Важнейшим условием заимствования является официальный статус и престиж контактирующих языков, который определяется объемом коммуникативных функций, давностью литературной традиции, социальным положением носителей языка. Языки, получившие официальный статус и пользующиеся высоким социальным престижем, как правило, оказывают влияние на другие языки.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138D">
        <w:rPr>
          <w:rFonts w:ascii="Times New Roman" w:hAnsi="Times New Roman"/>
          <w:sz w:val="28"/>
          <w:szCs w:val="28"/>
          <w:lang w:val="ru-RU"/>
        </w:rPr>
        <w:t xml:space="preserve"> Процесс заимствования слов немыслим без культурно-языковых контактов. Роль лингво-культурных контактов в развитии языка исключительно важна. В различные периоды развития языкознания она оценивалась по-разному. В период расцвета "нового учения о языке" академика Н. Я. Марра значение контактов в языковом развитии оценивалось несколько гипертрофированно. Почти все происходящее в языке объяснялось действием языкового взаимовлияния. Более того, само происхождение множества языков объяснялось их контактами, «смешением».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138D">
        <w:rPr>
          <w:rFonts w:ascii="Times New Roman" w:hAnsi="Times New Roman"/>
          <w:sz w:val="28"/>
          <w:szCs w:val="28"/>
          <w:lang w:val="ru-RU"/>
        </w:rPr>
        <w:t xml:space="preserve"> Сам термин "языковые контакты" появился сравнительно недавно и принадлежит А. Мартине. Широкое распространение он получил после выхода в Нью-Йорке известной работы У. Вайнрайха "</w:t>
      </w:r>
      <w:r w:rsidRPr="00AB138D">
        <w:rPr>
          <w:rFonts w:ascii="Times New Roman" w:hAnsi="Times New Roman"/>
          <w:sz w:val="28"/>
          <w:szCs w:val="28"/>
        </w:rPr>
        <w:t>Languages</w:t>
      </w:r>
      <w:r w:rsidRPr="00AB138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B138D">
        <w:rPr>
          <w:rFonts w:ascii="Times New Roman" w:hAnsi="Times New Roman"/>
          <w:sz w:val="28"/>
          <w:szCs w:val="28"/>
        </w:rPr>
        <w:t>in</w:t>
      </w:r>
      <w:r w:rsidRPr="00AB138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B138D">
        <w:rPr>
          <w:rFonts w:ascii="Times New Roman" w:hAnsi="Times New Roman"/>
          <w:sz w:val="28"/>
          <w:szCs w:val="28"/>
        </w:rPr>
        <w:t>contact</w:t>
      </w:r>
      <w:r w:rsidRPr="00AB138D">
        <w:rPr>
          <w:rFonts w:ascii="Times New Roman" w:hAnsi="Times New Roman"/>
          <w:sz w:val="28"/>
          <w:szCs w:val="28"/>
          <w:lang w:val="ru-RU"/>
        </w:rPr>
        <w:t xml:space="preserve">", первое издание которой появилось в </w:t>
      </w:r>
      <w:smartTag w:uri="urn:schemas-microsoft-com:office:smarttags" w:element="metricconverter">
        <w:smartTagPr>
          <w:attr w:name="ProductID" w:val="1953 г"/>
        </w:smartTagPr>
        <w:r w:rsidRPr="00AB138D">
          <w:rPr>
            <w:rFonts w:ascii="Times New Roman" w:hAnsi="Times New Roman"/>
            <w:sz w:val="28"/>
            <w:szCs w:val="28"/>
            <w:lang w:val="ru-RU"/>
          </w:rPr>
          <w:t>1953 г</w:t>
        </w:r>
      </w:smartTag>
      <w:r w:rsidRPr="00AB138D">
        <w:rPr>
          <w:rFonts w:ascii="Times New Roman" w:hAnsi="Times New Roman"/>
          <w:sz w:val="28"/>
          <w:szCs w:val="28"/>
          <w:lang w:val="ru-RU"/>
        </w:rPr>
        <w:t xml:space="preserve">., второе – в 1963. После этого термин "языковые контакты" начал широко использоваться в лингвистике. Следует обратить внимание на такой реальный факт, что основное и наиболее очевидное следствие языкового контактирования – это лексическое взаимопроникновение двух языковых систем. </w:t>
      </w:r>
      <w:r w:rsidRPr="00252727">
        <w:rPr>
          <w:rFonts w:ascii="Times New Roman" w:hAnsi="Times New Roman"/>
          <w:sz w:val="28"/>
          <w:szCs w:val="28"/>
          <w:lang w:val="ru-RU"/>
        </w:rPr>
        <w:t>В лингвистике этому вопросу уделяется довольно большое внимание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138D">
        <w:rPr>
          <w:rFonts w:ascii="Times New Roman" w:hAnsi="Times New Roman"/>
          <w:sz w:val="28"/>
          <w:szCs w:val="28"/>
          <w:lang w:val="ru-RU"/>
        </w:rPr>
        <w:t>В академических грамматиках русского и узбекского литературных языков, в ряде лингвистических работ описаны некоторые словообразовательные потенции заимствованных слов. По мнению А. Н. Халмурадова, "в рамках арабского и индоевропейского пласта узбекского языка мы выделяем арабскую и таджикскую подсистемы, обусловленные не генетической, а типологической, общностью" (Халмуродов, 1989), мы бы сказали: не "генетической", а ностратической общностью. Необходимо согласиться с утверждением А. Н. Халмурадова о том, что "арабская и таджикская система входили в состав узбекского литературного языка с момента его возникновения, аналогично тому, как в состав русского литературного языка исконно входили элементы старославянского языка как сосуществующей системы" (Халмурадов, 1989).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138D">
        <w:rPr>
          <w:rFonts w:ascii="Times New Roman" w:hAnsi="Times New Roman"/>
          <w:sz w:val="28"/>
          <w:szCs w:val="28"/>
          <w:lang w:val="ru-RU"/>
        </w:rPr>
        <w:t xml:space="preserve">Изучение контактов родственных и неродственных языков и, в частности, заимствования слов из одного языка другим имеет длительную историю.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138D">
        <w:rPr>
          <w:rFonts w:ascii="Times New Roman" w:hAnsi="Times New Roman"/>
          <w:sz w:val="28"/>
          <w:szCs w:val="28"/>
          <w:lang w:val="ru-RU"/>
        </w:rPr>
        <w:t xml:space="preserve">Становление сопоставительного и сравнительного метода в тюркском языкознании связано с известной работой Махмуда Кашгарского, жившего в </w:t>
      </w:r>
      <w:r w:rsidRPr="00AB138D">
        <w:rPr>
          <w:rFonts w:ascii="Times New Roman" w:hAnsi="Times New Roman"/>
          <w:sz w:val="28"/>
          <w:szCs w:val="28"/>
        </w:rPr>
        <w:t>XI</w:t>
      </w:r>
      <w:r w:rsidRPr="00AB138D">
        <w:rPr>
          <w:rFonts w:ascii="Times New Roman" w:hAnsi="Times New Roman"/>
          <w:sz w:val="28"/>
          <w:szCs w:val="28"/>
          <w:lang w:val="ru-RU"/>
        </w:rPr>
        <w:t xml:space="preserve"> в. "</w:t>
      </w:r>
      <w:r w:rsidRPr="00AB138D">
        <w:rPr>
          <w:rFonts w:ascii="Times New Roman" w:hAnsi="Times New Roman"/>
          <w:sz w:val="28"/>
          <w:szCs w:val="28"/>
        </w:rPr>
        <w:t>Divan</w:t>
      </w:r>
      <w:r w:rsidRPr="00AB138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B138D">
        <w:rPr>
          <w:rFonts w:ascii="Times New Roman" w:hAnsi="Times New Roman"/>
          <w:sz w:val="28"/>
          <w:szCs w:val="28"/>
        </w:rPr>
        <w:t>lugat</w:t>
      </w:r>
      <w:r w:rsidRPr="00AB138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B138D">
        <w:rPr>
          <w:rFonts w:ascii="Times New Roman" w:hAnsi="Times New Roman"/>
          <w:sz w:val="28"/>
          <w:szCs w:val="28"/>
        </w:rPr>
        <w:t>at</w:t>
      </w:r>
      <w:r w:rsidRPr="00AB138D">
        <w:rPr>
          <w:rFonts w:ascii="Times New Roman" w:hAnsi="Times New Roman"/>
          <w:sz w:val="28"/>
          <w:szCs w:val="28"/>
          <w:lang w:val="ru-RU"/>
        </w:rPr>
        <w:t>-</w:t>
      </w:r>
      <w:r w:rsidRPr="00AB138D">
        <w:rPr>
          <w:rFonts w:ascii="Times New Roman" w:hAnsi="Times New Roman"/>
          <w:sz w:val="28"/>
          <w:szCs w:val="28"/>
        </w:rPr>
        <w:t>turk</w:t>
      </w:r>
      <w:r w:rsidRPr="00AB138D">
        <w:rPr>
          <w:rFonts w:ascii="Times New Roman" w:hAnsi="Times New Roman"/>
          <w:sz w:val="28"/>
          <w:szCs w:val="28"/>
          <w:lang w:val="ru-RU"/>
        </w:rPr>
        <w:t>" . В этом труде собрано чрезвычайно большое количество слов и выражений многих тюркских языков. Работа написана около 1043 – 1074 гг., но сохранилась лишь в рукописи и была напечатана в Стамбуле только в 1912 – 1915 гг.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138D">
        <w:rPr>
          <w:rFonts w:ascii="Times New Roman" w:hAnsi="Times New Roman"/>
          <w:sz w:val="28"/>
          <w:szCs w:val="28"/>
          <w:lang w:val="ru-RU"/>
        </w:rPr>
        <w:t xml:space="preserve"> В староузбекско-персидских словарях "Бада'и ал-лугат", "Санглах", "Китаби лугати атракийа" впервые были зарегистрированы, по методу арабской и таджикско-персидской лексикографии, орфоэпии и орфографии 15 000 тюркских слов. В таджикско-персидской лексикографии объяснение произношения слов впервые встречается в "Сихах алФурс" Мухаммеда Нахчивани.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 xml:space="preserve">Авторы вышеназванных староузбекских словарей, стремясь к точной передаче орфографии и орфоэпии тюркских слов, использовали для этого четыре способа: 1/ объяснение харакатами; 2/ упоминание названий букв; 3/ сравнение; 4/ комбинации графемы с грамматическими терминами.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 xml:space="preserve">Это было связано с развитием исторической диалектологии, когда понятие "праязыка", даже условное, уже не удовлетворяло требованиям исследования и когда все острее осознавалось, что в каждой отдельный исторический момент и в своей отдельной локализации каждый языковой факт образует свою изоглоссу, которая может не совпадать с площадью распространения других изоглосс.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 xml:space="preserve">Все большее внимание стали привлекать языковые особенности каждого отдельного памятника письменности тюркского языка с целью выявить в системе его изоглосс субстантные явления, соотношение литературного и разговорного стилей и т.д. Предпринимается целый ряд попыток выделить родственные языки, найти общего предка этих языков, сгруппировать, дать классификацию известных языков на основе сходства и различий в их структурах. </w:t>
      </w:r>
    </w:p>
    <w:p w:rsidR="008F64A6" w:rsidRPr="006F1F3B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6F1F3B">
        <w:rPr>
          <w:rFonts w:ascii="Times New Roman" w:hAnsi="Times New Roman"/>
          <w:sz w:val="28"/>
          <w:szCs w:val="28"/>
        </w:rPr>
        <w:t>XIX</w:t>
      </w:r>
      <w:r w:rsidRPr="006F1F3B">
        <w:rPr>
          <w:rFonts w:ascii="Times New Roman" w:hAnsi="Times New Roman"/>
          <w:sz w:val="28"/>
          <w:szCs w:val="28"/>
          <w:lang w:val="ru-RU"/>
        </w:rPr>
        <w:t xml:space="preserve"> веке русские языковеды не только приступили к изучению классических западных и таких крупных восточных языков, как арабский, персидский, китайский, турецкий, но и обратились к более широкому диапазону языков Востока: афганскому, осетинскому, корейскому и маньчжурскому. Проводятся параллели между восточными языками Европы и Азии. Письменные памятники азербайджанского, турецкого, туркменского и других народов рассматривались как памятники, принадлежавшие узбекскому народу, а их язык относился к староузбекскому /чагатайскому/ языку. Язык эпохи Алишера Навои считался эталоном для современного узбекского литературного языка. Ученые разработали периодизацию развития узбекского литературного языка /хотя хронологические рамки этой периодизации не всегда совпадают у разных исследователей/: 1) </w:t>
      </w:r>
      <w:r w:rsidRPr="006F1F3B">
        <w:rPr>
          <w:rFonts w:ascii="Times New Roman" w:hAnsi="Times New Roman"/>
          <w:sz w:val="28"/>
          <w:szCs w:val="28"/>
        </w:rPr>
        <w:t>XI</w:t>
      </w:r>
      <w:r w:rsidRPr="006F1F3B">
        <w:rPr>
          <w:rFonts w:ascii="Times New Roman" w:hAnsi="Times New Roman"/>
          <w:sz w:val="28"/>
          <w:szCs w:val="28"/>
          <w:lang w:val="ru-RU"/>
        </w:rPr>
        <w:t>–</w:t>
      </w:r>
      <w:r w:rsidRPr="006F1F3B">
        <w:rPr>
          <w:rFonts w:ascii="Times New Roman" w:hAnsi="Times New Roman"/>
          <w:sz w:val="28"/>
          <w:szCs w:val="28"/>
        </w:rPr>
        <w:t>XV</w:t>
      </w:r>
      <w:r w:rsidRPr="006F1F3B">
        <w:rPr>
          <w:rFonts w:ascii="Times New Roman" w:hAnsi="Times New Roman"/>
          <w:sz w:val="28"/>
          <w:szCs w:val="28"/>
          <w:lang w:val="ru-RU"/>
        </w:rPr>
        <w:t xml:space="preserve"> вв.; 2) </w:t>
      </w:r>
      <w:r w:rsidRPr="006F1F3B">
        <w:rPr>
          <w:rFonts w:ascii="Times New Roman" w:hAnsi="Times New Roman"/>
          <w:sz w:val="28"/>
          <w:szCs w:val="28"/>
        </w:rPr>
        <w:t>XV</w:t>
      </w:r>
      <w:r w:rsidRPr="006F1F3B">
        <w:rPr>
          <w:rFonts w:ascii="Times New Roman" w:hAnsi="Times New Roman"/>
          <w:sz w:val="28"/>
          <w:szCs w:val="28"/>
          <w:lang w:val="ru-RU"/>
        </w:rPr>
        <w:t>–</w:t>
      </w:r>
      <w:r w:rsidRPr="006F1F3B">
        <w:rPr>
          <w:rFonts w:ascii="Times New Roman" w:hAnsi="Times New Roman"/>
          <w:sz w:val="28"/>
          <w:szCs w:val="28"/>
        </w:rPr>
        <w:t>XVI</w:t>
      </w:r>
      <w:r w:rsidRPr="006F1F3B">
        <w:rPr>
          <w:rFonts w:ascii="Times New Roman" w:hAnsi="Times New Roman"/>
          <w:sz w:val="28"/>
          <w:szCs w:val="28"/>
          <w:lang w:val="ru-RU"/>
        </w:rPr>
        <w:t xml:space="preserve"> вв.; 3) </w:t>
      </w:r>
      <w:r w:rsidRPr="006F1F3B">
        <w:rPr>
          <w:rFonts w:ascii="Times New Roman" w:hAnsi="Times New Roman"/>
          <w:sz w:val="28"/>
          <w:szCs w:val="28"/>
        </w:rPr>
        <w:t>XVII</w:t>
      </w:r>
      <w:r w:rsidRPr="006F1F3B">
        <w:rPr>
          <w:rFonts w:ascii="Times New Roman" w:hAnsi="Times New Roman"/>
          <w:sz w:val="28"/>
          <w:szCs w:val="28"/>
          <w:lang w:val="ru-RU"/>
        </w:rPr>
        <w:t>–</w:t>
      </w:r>
      <w:r w:rsidRPr="006F1F3B">
        <w:rPr>
          <w:rFonts w:ascii="Times New Roman" w:hAnsi="Times New Roman"/>
          <w:sz w:val="28"/>
          <w:szCs w:val="28"/>
        </w:rPr>
        <w:t>XVIII</w:t>
      </w:r>
      <w:r w:rsidRPr="006F1F3B">
        <w:rPr>
          <w:rFonts w:ascii="Times New Roman" w:hAnsi="Times New Roman"/>
          <w:sz w:val="28"/>
          <w:szCs w:val="28"/>
          <w:lang w:val="ru-RU"/>
        </w:rPr>
        <w:t xml:space="preserve"> вв.; 4) </w:t>
      </w:r>
      <w:r w:rsidRPr="006F1F3B">
        <w:rPr>
          <w:rFonts w:ascii="Times New Roman" w:hAnsi="Times New Roman"/>
          <w:sz w:val="28"/>
          <w:szCs w:val="28"/>
        </w:rPr>
        <w:t>XIX</w:t>
      </w:r>
      <w:r w:rsidRPr="006F1F3B">
        <w:rPr>
          <w:rFonts w:ascii="Times New Roman" w:hAnsi="Times New Roman"/>
          <w:sz w:val="28"/>
          <w:szCs w:val="28"/>
          <w:lang w:val="ru-RU"/>
        </w:rPr>
        <w:t>–</w:t>
      </w:r>
      <w:r w:rsidRPr="006F1F3B">
        <w:rPr>
          <w:rFonts w:ascii="Times New Roman" w:hAnsi="Times New Roman"/>
          <w:sz w:val="28"/>
          <w:szCs w:val="28"/>
        </w:rPr>
        <w:t>XX</w:t>
      </w:r>
      <w:r w:rsidRPr="006F1F3B">
        <w:rPr>
          <w:rFonts w:ascii="Times New Roman" w:hAnsi="Times New Roman"/>
          <w:sz w:val="28"/>
          <w:szCs w:val="28"/>
          <w:lang w:val="ru-RU"/>
        </w:rPr>
        <w:t xml:space="preserve"> вв. Ими определены центры, где формировался узбекский литературный язык /Кашгар, Сырдарья, Хорезм, Ферганская долина/, выявлены исторические условия, обстановка, а также основные племена и народности, участвовавшие в формировании узбекского литературного языка /чигили, карлуки, уйгуры, огузы, кипчаки/.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>Интересна работа А.Н. Халмурадова "Креолизованные и некреолизованные подсистемы современного узбекского словообразования". В его монографии в социолингвистическом аспекте анализируется взаимодействие узбекского языка с русским, таджикским и арабским в области словообразовательной морфологии. Вскрыт механизм сосуществования в системе узбекского словообразования элементов генетически различных подсистем. Х. Гулямов исследовал узбекско-таджикские языковые связи. Он анализирует слова с компонентами сар, хуш и кор. В таджикском, персидском, афганском и в некоторых других языках иранской группы слово "сар" выступает как самостоятельная лексическая единица, которая употребляется без аффиксов. В узбекском и других тюркских языках "сар" самостоятельно не употребляется. Например: в таджикском языке "сар" употребляется в значении "голова". В литературном узбекском языке и в диалектах "сар" присоединяет аффиксы: -ак, -бо, -вар, -дор, -кор, -по и другие, приобретая при этом различные значения. Например: Сарпо. Оно означает: 1) одежда и обувь, даримые на свадьбах, на торжественных приемах: сарпо бермок – подаритъ одежду и обувь; 2) костюм, одежда, комплект одежды. Обе части слова сар (голова) + по (нога) тадж. происхождения (можно заменить исконно тюркскими, т.е. узбекскими словами бош-оѐк // бошдан оѐк – с головы до ног, т.е. полностью (комплект). Здесь уместно отметить, что тадж. сар (голова), по (нога) иногда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F1F3B">
        <w:rPr>
          <w:rFonts w:ascii="Times New Roman" w:hAnsi="Times New Roman"/>
          <w:sz w:val="28"/>
          <w:szCs w:val="28"/>
          <w:lang w:val="ru-RU"/>
        </w:rPr>
        <w:t>употребляется рядом с узбекским эквивалентом: бош-голова, оѐк-нога: бош-оѐк сарпо килмок – одарить одеждой (Акобиров, 1988).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 xml:space="preserve">Слово “хуш” заимствовано узбекским языком из таджикского. В обоих языках оно употребляется как самостоятельное слово. "Хуш" и в узбекском, и в таджикском языке обозначает: хороший, приятный, веселый, радостный. Унинг вакти хуш – у него хорошее (веселое) настроение; хуш курмок – любить, уважать; хушбахт – счастливый, хушбуй – ароматный, благовонный от буй – запах.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 xml:space="preserve">Слово “кор” персидско-таджикского происхождения. Как самостоятельное слово употребляется в обоих языках и обозначает одно и то же понятие /дело, работа/. Кори хайр – доброе дело, касбу кор – занятие, профессия. «Кор» образован от основы глагола коридан – сажать, сеять.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 xml:space="preserve">В современном узбекском литературном языке он употребляется и как самостоятельное слово, и как служебное. Например: корхона, бекор, бастакор, др.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 xml:space="preserve">Исследования показывают, что в процессе многовековых контактов и взаимовлияния узбекского и таджикского языков наибольшее воздействие испытала лексика, что характерно и для взаимовлияния других языков мира. Тематический круг узбекских заимствований в таджикском и таджикских в узбекском необъятно широк. Он включает в себя почти все области жизни. </w:t>
      </w:r>
    </w:p>
    <w:p w:rsidR="008F64A6" w:rsidRPr="006F1F3B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>В настоящее время выявлено и накоплено значительное количество материалов по лексике тюркских языков. Здесь нужно назвать работы Л. Гафуровой "Бытовая лексика в современном узбекском языке" /Ташкент, 1991/; М. Асамутдиновой "Название одежды и еѐ частей в узбекском языке" /Ташкент, 1969/; Х. Бакаевой "Терминология золотошвейного производства Бухары и Гиждувана" /Ташкент, 1971/; Н. Икрамовой "Узбекская кулинарная лексика" /Ташкент, 1989/.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 xml:space="preserve">Исследование Л. Гафуровой "Бытовая лексика в современном узбекском языке" посвящено изучению узкой области словаря языка, которая связана с предметами повседневного быта.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>Исследователь рассматривает имена существительные, выделив 12 лексико-семантических групп бытовой лексики, в которые входят слова, обозначающие предметы мебели, названия постельных принадлежностей; различных матерчатых изделий; принадлежностей для рукоделия; осветительных приспособлений и т. д. В диссертации М. Асамутдиновой "Название одежды и еѐ частей в узбекском языке" излагается понятие о профессиональной терминологии, рассматривается вопрос о взаимоотношении профессиональной терминологии с научно-технической терминологией, об их взаимообогащении. В своей работе "Терминология золотошвейного производства Бухары и Гиждувана" Х. Бакаева изучает узбекскую терминологию золотошвейного производства, еѐ состав и структуру, терминообразовательные средства, а также выясняет взаимоотношение профессиональной и литературной лексики. Исследователь рассматривает наименования шитых золотом тюбетеек; наименования шитых золотом сюзане, сувениров; наименования профессий золотошвейцов и т. п. Н. Икрамова в диссертационном исследовании "Узбекская кулинарная лексика" даѐт определение условия перехода названий кулинарной лексики из других языков, их словообразование, приспособление к грамматическому строю заимствующего языка, участие названий кушаний в составе фразеологических единиц, пословиц и поговорок, их переносное значение.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 xml:space="preserve"> История терминологии – это проблема национально-историческая, проблема истории человеческой цивилизации, истории культурных взаимодействий и взаимовлияний. В процессе исследования было установлено, что на данном этапе необходимо провести исчерпывающее изучение ряда узловых проблем, что оказалось возможным за счет сужения этой в целом широкой темы. Подобное ограничение позволяет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F1F3B">
        <w:rPr>
          <w:rFonts w:ascii="Times New Roman" w:hAnsi="Times New Roman"/>
          <w:sz w:val="28"/>
          <w:szCs w:val="28"/>
          <w:lang w:val="ru-RU"/>
        </w:rPr>
        <w:t>произвести сравнительно-историческое исследование наименований терминов по их форме, семантике, структуре, синонимическому ряду, особенностям употребления и другим аспектам.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F1F3B">
        <w:rPr>
          <w:rFonts w:ascii="Times New Roman" w:hAnsi="Times New Roman"/>
          <w:sz w:val="28"/>
          <w:szCs w:val="28"/>
          <w:lang w:val="ru-RU"/>
        </w:rPr>
        <w:t>Наше исследование подтверждает вывод о том, что в истории развития словарного состава конкретного языка приток иноязычных слов был не механическим процессом, а обусловливался многими причинами: историческим развитием, необходимостью общения с другими народами, переводческой деятельностью, взаимообогащением и взаимопроникновением языков и культур. Широкие международные контакты создали благоприятную почву не только для более глубокого познания мировой культуры, приобщения к общечеловеческим ценностям, но и позволили развиться таланту узбекского народа в различных сферах деятельности, дали возможность в полной мере проявить такие его исключительные качества, как предприимчивость и коммуникабельность, быстрое овладение несколькими иностранными языками. Благодаря этим контактам новый импульс к развитию получили и традиции национального гостеприимства и хлебосольства. Именно в сочетании наших традиционных ценностей с ценностями современного демократического общества – залог нашего будущего процветания, залог интеграции нашего общества в ми</w:t>
      </w:r>
      <w:r>
        <w:rPr>
          <w:rFonts w:ascii="Times New Roman" w:hAnsi="Times New Roman"/>
          <w:sz w:val="28"/>
          <w:szCs w:val="28"/>
          <w:lang w:val="ru-RU"/>
        </w:rPr>
        <w:t>ровое сообщество</w:t>
      </w:r>
      <w:r w:rsidRPr="006F1F3B">
        <w:rPr>
          <w:rFonts w:ascii="Times New Roman" w:hAnsi="Times New Roman"/>
          <w:sz w:val="28"/>
          <w:szCs w:val="28"/>
          <w:lang w:val="ru-RU"/>
        </w:rPr>
        <w:t>.</w:t>
      </w:r>
    </w:p>
    <w:p w:rsidR="008F64A6" w:rsidRPr="006F1F3B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F64A6" w:rsidRPr="003244A0" w:rsidRDefault="008F64A6" w:rsidP="00A65EBA">
      <w:pPr>
        <w:spacing w:line="276" w:lineRule="auto"/>
        <w:rPr>
          <w:rFonts w:ascii="Times New Roman" w:hAnsi="Times New Roman"/>
          <w:b/>
          <w:sz w:val="28"/>
          <w:szCs w:val="28"/>
          <w:lang w:val="ru-RU"/>
        </w:rPr>
      </w:pPr>
      <w:r w:rsidRPr="003244A0">
        <w:rPr>
          <w:rFonts w:ascii="Times New Roman" w:hAnsi="Times New Roman"/>
          <w:b/>
          <w:sz w:val="28"/>
          <w:szCs w:val="28"/>
          <w:lang w:val="ru-RU"/>
        </w:rPr>
        <w:t>Литератур</w:t>
      </w:r>
      <w:r>
        <w:rPr>
          <w:rFonts w:ascii="Times New Roman" w:hAnsi="Times New Roman"/>
          <w:b/>
          <w:sz w:val="28"/>
          <w:szCs w:val="28"/>
          <w:lang w:val="ru-RU"/>
        </w:rPr>
        <w:t>а: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Pr="006F1F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44A0">
        <w:rPr>
          <w:rFonts w:ascii="Times New Roman" w:hAnsi="Times New Roman"/>
          <w:b/>
          <w:sz w:val="28"/>
          <w:szCs w:val="28"/>
          <w:lang w:val="ru-RU"/>
        </w:rPr>
        <w:t>Асамутдинова М</w:t>
      </w:r>
      <w:r w:rsidRPr="006F1F3B">
        <w:rPr>
          <w:rFonts w:ascii="Times New Roman" w:hAnsi="Times New Roman"/>
          <w:sz w:val="28"/>
          <w:szCs w:val="28"/>
          <w:lang w:val="ru-RU"/>
        </w:rPr>
        <w:t xml:space="preserve">. Название одежды и еѐ частей в узбекском языке: Автореф. дисс... канд. филол. наук, Ташкент, 1969. 28 с.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</w:t>
      </w:r>
      <w:r w:rsidRPr="003244A0">
        <w:rPr>
          <w:rFonts w:ascii="Times New Roman" w:hAnsi="Times New Roman"/>
          <w:b/>
          <w:sz w:val="28"/>
          <w:szCs w:val="28"/>
          <w:lang w:val="ru-RU"/>
        </w:rPr>
        <w:t>Бакаева Х. Д.</w:t>
      </w:r>
      <w:r w:rsidRPr="006F1F3B">
        <w:rPr>
          <w:rFonts w:ascii="Times New Roman" w:hAnsi="Times New Roman"/>
          <w:sz w:val="28"/>
          <w:szCs w:val="28"/>
          <w:lang w:val="ru-RU"/>
        </w:rPr>
        <w:t xml:space="preserve"> Терминология золотошвейного производства Бухары и Гиждувана: Автореф. дисс… канд. филол. наук, Ташкент, 1971. 20 с.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Pr="003244A0">
        <w:rPr>
          <w:rFonts w:ascii="Times New Roman" w:hAnsi="Times New Roman"/>
          <w:b/>
          <w:sz w:val="28"/>
          <w:szCs w:val="28"/>
          <w:lang w:val="ru-RU"/>
        </w:rPr>
        <w:t>Гафурова Л. Х.</w:t>
      </w:r>
      <w:r w:rsidRPr="006F1F3B">
        <w:rPr>
          <w:rFonts w:ascii="Times New Roman" w:hAnsi="Times New Roman"/>
          <w:sz w:val="28"/>
          <w:szCs w:val="28"/>
          <w:lang w:val="ru-RU"/>
        </w:rPr>
        <w:t xml:space="preserve"> Бытовая лексика в современном узбекском языке. Т. 1991. 136 с. </w:t>
      </w:r>
    </w:p>
    <w:p w:rsidR="008F64A6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</w:t>
      </w:r>
      <w:r w:rsidRPr="003244A0">
        <w:rPr>
          <w:rFonts w:ascii="Times New Roman" w:hAnsi="Times New Roman"/>
          <w:b/>
          <w:sz w:val="28"/>
          <w:szCs w:val="28"/>
          <w:lang w:val="ru-RU"/>
        </w:rPr>
        <w:t>Икрамова Н.</w:t>
      </w:r>
      <w:r w:rsidRPr="006F1F3B">
        <w:rPr>
          <w:rFonts w:ascii="Times New Roman" w:hAnsi="Times New Roman"/>
          <w:sz w:val="28"/>
          <w:szCs w:val="28"/>
          <w:lang w:val="ru-RU"/>
        </w:rPr>
        <w:t xml:space="preserve"> Узбекская кулинарная лексика: Автореф. дисс... канд. филол. наук, Ташкент, 1983. 23 с.</w:t>
      </w:r>
    </w:p>
    <w:p w:rsidR="008F64A6" w:rsidRPr="006F1F3B" w:rsidRDefault="008F64A6" w:rsidP="00F2060E">
      <w:pPr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</w:t>
      </w:r>
      <w:r w:rsidRPr="006F1F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44A0">
        <w:rPr>
          <w:rFonts w:ascii="Times New Roman" w:hAnsi="Times New Roman"/>
          <w:b/>
          <w:sz w:val="28"/>
          <w:szCs w:val="28"/>
          <w:lang w:val="ru-RU"/>
        </w:rPr>
        <w:t>Халмурадов А. Н</w:t>
      </w:r>
      <w:r w:rsidRPr="006F1F3B">
        <w:rPr>
          <w:rFonts w:ascii="Times New Roman" w:hAnsi="Times New Roman"/>
          <w:sz w:val="28"/>
          <w:szCs w:val="28"/>
          <w:lang w:val="ru-RU"/>
        </w:rPr>
        <w:t>. Креолизованные и некреолизованные подсистемы современного узбекского словообразования. Т. 1989. 144 с.</w:t>
      </w:r>
    </w:p>
    <w:p w:rsidR="008F64A6" w:rsidRPr="00F2060E" w:rsidRDefault="008F64A6" w:rsidP="00F2060E">
      <w:pPr>
        <w:ind w:firstLine="567"/>
        <w:rPr>
          <w:rFonts w:ascii="Times New Roman" w:hAnsi="Times New Roman"/>
          <w:sz w:val="28"/>
          <w:szCs w:val="28"/>
          <w:lang w:val="ru-RU"/>
        </w:rPr>
      </w:pPr>
    </w:p>
    <w:sectPr w:rsidR="008F64A6" w:rsidRPr="00F2060E" w:rsidSect="00D15F8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4A6" w:rsidRDefault="008F64A6" w:rsidP="00F2060E">
      <w:r>
        <w:separator/>
      </w:r>
    </w:p>
  </w:endnote>
  <w:endnote w:type="continuationSeparator" w:id="1">
    <w:p w:rsidR="008F64A6" w:rsidRDefault="008F64A6" w:rsidP="00F20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A6" w:rsidRDefault="008F64A6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8F64A6" w:rsidRDefault="008F64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4A6" w:rsidRDefault="008F64A6" w:rsidP="00F2060E">
      <w:r>
        <w:separator/>
      </w:r>
    </w:p>
  </w:footnote>
  <w:footnote w:type="continuationSeparator" w:id="1">
    <w:p w:rsidR="008F64A6" w:rsidRDefault="008F64A6" w:rsidP="00F20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60E"/>
    <w:rsid w:val="00252727"/>
    <w:rsid w:val="003244A0"/>
    <w:rsid w:val="00337604"/>
    <w:rsid w:val="003A54B6"/>
    <w:rsid w:val="00472908"/>
    <w:rsid w:val="00616D6C"/>
    <w:rsid w:val="006F1F3B"/>
    <w:rsid w:val="007408EF"/>
    <w:rsid w:val="008951D8"/>
    <w:rsid w:val="008F64A6"/>
    <w:rsid w:val="0091289C"/>
    <w:rsid w:val="009A6BA3"/>
    <w:rsid w:val="00A57EB1"/>
    <w:rsid w:val="00A65EBA"/>
    <w:rsid w:val="00A93484"/>
    <w:rsid w:val="00AB138D"/>
    <w:rsid w:val="00B8041D"/>
    <w:rsid w:val="00BB061C"/>
    <w:rsid w:val="00BF38FC"/>
    <w:rsid w:val="00CA1531"/>
    <w:rsid w:val="00D15F89"/>
    <w:rsid w:val="00F2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206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060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06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06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06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06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060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060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2060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F2060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060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2060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2060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2060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2060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2060E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2060E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2060E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2060E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F206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2060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F2060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2060E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F2060E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F2060E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F2060E"/>
    <w:rPr>
      <w:szCs w:val="32"/>
    </w:rPr>
  </w:style>
  <w:style w:type="paragraph" w:styleId="ListParagraph">
    <w:name w:val="List Paragraph"/>
    <w:basedOn w:val="Normal"/>
    <w:uiPriority w:val="99"/>
    <w:qFormat/>
    <w:rsid w:val="00F2060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F2060E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F2060E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2060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2060E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F2060E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F2060E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F2060E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F2060E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F2060E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F2060E"/>
    <w:pPr>
      <w:outlineLvl w:val="9"/>
    </w:pPr>
  </w:style>
  <w:style w:type="paragraph" w:styleId="Header">
    <w:name w:val="header"/>
    <w:basedOn w:val="Normal"/>
    <w:link w:val="HeaderChar"/>
    <w:uiPriority w:val="99"/>
    <w:semiHidden/>
    <w:rsid w:val="00F2060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2060E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2060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2060E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7</Pages>
  <Words>9470</Words>
  <Characters>5399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Sherzod</dc:creator>
  <cp:keywords/>
  <dc:description/>
  <cp:lastModifiedBy>Admin</cp:lastModifiedBy>
  <cp:revision>9</cp:revision>
  <dcterms:created xsi:type="dcterms:W3CDTF">2023-10-15T03:47:00Z</dcterms:created>
  <dcterms:modified xsi:type="dcterms:W3CDTF">2023-10-30T17:30:00Z</dcterms:modified>
</cp:coreProperties>
</file>